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Документы, расчёты и декларации по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расследование несчастного случая / положение о расследовании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мы уточним сами.</w:t>
        <w:br/>
        <w:t>2. Приложите документы из списка в конце (что есть — остальное не критично).</w:t>
        <w:br/>
        <w:t xml:space="preserve">3. Отправьте файл и приложения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</w:r>
      <w:r>
        <w:rPr>
          <w:color w:val="666666"/>
          <w:sz w:val="18"/>
        </w:rPr>
        <w:t>Заполнение листа поможет подготовить положение о расследовании, приказы и формы документов с учётом структуры и особенностей вашей организации, чтобы избежать ошибок и доработок.</w:t>
      </w:r>
    </w:p>
    <w:p>
      <w:pPr>
        <w:pStyle w:val="Heading2"/>
      </w:pPr>
      <w:r>
        <w:rPr>
          <w:color w:val="186872"/>
          <w:sz w:val="24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Адрес объекта (полный, с индексом)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 деятельности (ОКВЭД или описание)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Организация расследования и ответственные лица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отвечать за охрану труда и организацию расследования? (укажите должность, ФИО, телефон, email)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служба охраны труда или специалист по охране труда? (да/нет; если да — сколько человек и кому подчиняется)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войдёт в комиссию по расследованию? (перечислите должности: председатель, члены, представитель профсоюза или трудового коллектива)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Будет ли участвовать представитель профсоюза или иного представительного органа работников? (да/нет, название органа)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утверждает приказ о создании комиссии? (должность руководителя или уполномоченного лица)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вести журнал регистрации несчастных случаев? (должность, ФИО)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отвечает за передачу извещений в ГИТ, прокуратуру, СФР? (должность, контакты)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включить порядок расследования микроповреждений? (да/нет; если да — кто регистрирует и ведёт отдельный журнал)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Виды происшествий и особенности учёта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виды происшествий планируется расследовать? (лёгкие, тяжёлые, групповые, со смертельным исходом, микроповреждения — перечислите)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Вести ли отдельный журнал учёта микроповреждений? (да/нет; если да — в бумажном или электронном виде)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фиксировать несчастные случаи, о которых работник сообщил не сразу? (да/нет; если да — укажите предельный срок приёма сообщения)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Предусмотреть ли порядок расследования случаев, произошедших по пути на работу или с работы? (да/нет; если используете служебный транспорт — укажите)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учитывать несчастные случаи с дистанционными работниками? (да/нет; если есть такие работники)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внутренняя классификация лёгких травм? (да/нет; если да — кратко опишите)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Использовать только форму Н-1 или дополнительно Н-1ПС для профессиональных заболеваний? (укажите нужные формы)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Формы документов и документооборот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документы нужно подготовить в комплекте? (положение, приказ о комиссии, извещение, акт Н-1, протокол опроса, протокол осмотра, журнал — отметьте нужное)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Нужны ли шаблоны объяснительных записок пострадавшего и очевидцев?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Включить ли форму уведомления пострадавшего о результатах расследования?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Использовать бумажный или электронный документооборот? (бумажный/электронный/смешанный)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фирменные бланки или требования к оформлению документов? (да/нет; приложите образцы)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дублировать документы на иностранном языке? (да/нет; если есть иностранные работники — на каком языке)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подписывает акт Н-1 и где хранится оригинал? (должность, место хранения)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Где предусмотреть архивное хранение актов Н-1 в течение 45 лет? (наименование подразделения или способ)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Действия при наступлении несчастного случая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первым должен сообщить о происшествии и в какой срок? (должность, часы/дни)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быстро передавать извещение о тяжёлом, групповом или смертельном случае? (в течение суток — подтвердите наличие контактов)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Нужен ли чек-лист действий для руководителя подразделения на месте происшествия?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организовать осмотр места происшествия? (фото/видео фиксация, схема, ограждение — укажите, кто делает)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проводит опрос пострадавшего и свидетелей? (должность члена комиссии)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уведомлять СФР о несчастном случае? (если да — каким способом: электронно/почтой)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Предусмотреть ли порядок изменения состава комиссии при утрате доверия? (да/нет)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Особенности организации и риски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вредные или опасные производственные факторы, которые могут привести к несчастным случаям? (перечислите основные)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Были ли ранее несчастные случаи или микроповреждения в организации? (если да — кратко опишите)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работники на вахте, в командировках или дистанционные? (перечислите категории)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Требуется ли особый порядок для подрядчиков или арендаторов на территории?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Учитывать ли случаи с обучающимися, практикантами, волонтёрами?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включать взаимодействие с медицинской организацией для получения справки о характере повреждений?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Предусмотреть ли порядок информирования родственников пострадавшего?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Хранить ли копии извещений в отдельном деле? (да/нет)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Что приложить (если есть)</w:t>
      </w:r>
    </w:p>
    <w:p>
      <w:pPr>
        <w:pStyle w:val="ListBullet"/>
      </w:pPr>
      <w:r>
        <w:t>Штатное расписание или список должностей работников</w:t>
      </w:r>
    </w:p>
    <w:p>
      <w:pPr>
        <w:pStyle w:val="ListBullet"/>
      </w:pPr>
      <w:r>
        <w:t>Действующее положение о системе управления охраной труда или инструкции по охране труда (если есть)</w:t>
      </w:r>
    </w:p>
    <w:p>
      <w:pPr>
        <w:pStyle w:val="ListBullet"/>
      </w:pPr>
      <w:r>
        <w:t>Приказы о назначении ответственных за охрану труда и пожарную безопасность</w:t>
      </w:r>
    </w:p>
    <w:p>
      <w:pPr>
        <w:pStyle w:val="ListBullet"/>
      </w:pPr>
      <w:r>
        <w:t>Результаты специальной оценки условий труда (СОУТ) или перечень вредных и опасных производственных факторов</w:t>
      </w:r>
    </w:p>
    <w:p>
      <w:pPr>
        <w:pStyle w:val="ListBullet"/>
      </w:pPr>
      <w:r>
        <w:t>Сведения о ранее произошедших несчастных случаях и микроповреждениях (акты, приказы, журналы)</w:t>
      </w:r>
    </w:p>
    <w:p>
      <w:pPr>
        <w:pStyle w:val="ListBullet"/>
      </w:pPr>
      <w:r>
        <w:t>Положение о профсоюзе или ином представительном органе работников (если есть)</w:t>
      </w:r>
    </w:p>
    <w:p>
      <w:pPr>
        <w:pStyle w:val="ListBullet"/>
      </w:pPr>
      <w:r>
        <w:t>Перечень объектов и территорий, где ведутся работы (если несколько площадок)</w:t>
      </w:r>
    </w:p>
    <w:p>
      <w:pPr>
        <w:pStyle w:val="ListBullet"/>
      </w:pPr>
      <w:r>
        <w:t>Режимы работы: вахта, смены, дистанционная работа (графики, приказы)</w:t>
      </w:r>
    </w:p>
    <w:p>
      <w:pPr>
        <w:pStyle w:val="ListBullet"/>
      </w:pPr>
      <w:r>
        <w:t>Контакты территориальных ГИТ, прокуратуры, СФР для передачи извещений</w:t>
      </w:r>
    </w:p>
    <w:p>
      <w:r>
        <w:rPr>
          <w:color w:val="666666"/>
          <w:sz w:val="18"/>
        </w:rPr>
        <w:t>МелданаСБ · 8 (800) 775-65-96 · sale@meldana.ru · meldana.com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